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EA124" w14:textId="77D9094A" w:rsidR="00430386" w:rsidRDefault="006F3122" w:rsidP="009F199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D7B9D">
        <w:rPr>
          <w:rFonts w:ascii="Arial" w:hAnsi="Arial" w:cs="Arial"/>
          <w:sz w:val="22"/>
          <w:szCs w:val="22"/>
        </w:rPr>
        <w:t xml:space="preserve">GRINDROD </w:t>
      </w:r>
      <w:r w:rsidR="005A0375">
        <w:rPr>
          <w:rFonts w:ascii="Arial" w:hAnsi="Arial" w:cs="Arial"/>
          <w:sz w:val="22"/>
          <w:szCs w:val="22"/>
        </w:rPr>
        <w:t xml:space="preserve">SHIPPING HOLDINGS </w:t>
      </w:r>
      <w:r w:rsidRPr="004D7B9D">
        <w:rPr>
          <w:rFonts w:ascii="Arial" w:hAnsi="Arial" w:cs="Arial"/>
          <w:sz w:val="22"/>
          <w:szCs w:val="22"/>
        </w:rPr>
        <w:t>LTD</w:t>
      </w:r>
      <w:r w:rsidR="005A0375">
        <w:rPr>
          <w:rFonts w:ascii="Arial" w:hAnsi="Arial" w:cs="Arial"/>
          <w:sz w:val="22"/>
          <w:szCs w:val="22"/>
        </w:rPr>
        <w:t>.</w:t>
      </w:r>
      <w:r w:rsidR="000A5298">
        <w:rPr>
          <w:rFonts w:ascii="Arial" w:hAnsi="Arial" w:cs="Arial"/>
          <w:sz w:val="22"/>
          <w:szCs w:val="22"/>
        </w:rPr>
        <w:t xml:space="preserve"> (the Company)</w:t>
      </w:r>
    </w:p>
    <w:p w14:paraId="3B68D5FE" w14:textId="77777777" w:rsidR="005A0375" w:rsidRPr="004D7B9D" w:rsidRDefault="005A0375" w:rsidP="009F19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ABBREVIATED NAME: GRINSHIP</w:t>
      </w:r>
    </w:p>
    <w:p w14:paraId="3FE64B1D" w14:textId="7E9F69D3" w:rsidR="00430386" w:rsidRPr="004D7B9D" w:rsidRDefault="00FF4413" w:rsidP="009F19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Registered in Singapore with r</w:t>
      </w:r>
      <w:r w:rsidR="00430386" w:rsidRPr="004D7B9D">
        <w:rPr>
          <w:rFonts w:ascii="Arial" w:hAnsi="Arial" w:cs="Arial"/>
          <w:sz w:val="22"/>
          <w:szCs w:val="22"/>
        </w:rPr>
        <w:t>eg</w:t>
      </w:r>
      <w:r w:rsidR="006F3122" w:rsidRPr="004D7B9D">
        <w:rPr>
          <w:rFonts w:ascii="Arial" w:hAnsi="Arial" w:cs="Arial"/>
          <w:sz w:val="22"/>
          <w:szCs w:val="22"/>
        </w:rPr>
        <w:t xml:space="preserve">istration number </w:t>
      </w:r>
      <w:r w:rsidR="005A0375">
        <w:rPr>
          <w:rFonts w:ascii="Arial" w:hAnsi="Arial" w:cs="Arial"/>
          <w:sz w:val="22"/>
          <w:szCs w:val="22"/>
        </w:rPr>
        <w:t>201731497H</w:t>
      </w:r>
    </w:p>
    <w:p w14:paraId="4BAAB31F" w14:textId="28E6C75F" w:rsidR="00A520EA" w:rsidRDefault="00D7689F" w:rsidP="009F19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NASDAQ Share code: GRIN</w:t>
      </w:r>
    </w:p>
    <w:p w14:paraId="387B59A2" w14:textId="00A384D3" w:rsidR="00D7689F" w:rsidRDefault="00D7689F" w:rsidP="009F19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CUSIP: Y28895103</w:t>
      </w:r>
    </w:p>
    <w:p w14:paraId="00DC6936" w14:textId="4BA67386" w:rsidR="005A0375" w:rsidRPr="004D7B9D" w:rsidRDefault="005A0375" w:rsidP="009F19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JSE </w:t>
      </w:r>
      <w:r w:rsidR="00437DC1" w:rsidRPr="004D7B9D">
        <w:rPr>
          <w:rFonts w:ascii="Arial" w:hAnsi="Arial" w:cs="Arial"/>
          <w:sz w:val="22"/>
          <w:szCs w:val="22"/>
        </w:rPr>
        <w:t>Share code: G</w:t>
      </w:r>
      <w:r>
        <w:rPr>
          <w:rFonts w:ascii="Arial" w:hAnsi="Arial" w:cs="Arial"/>
          <w:sz w:val="22"/>
          <w:szCs w:val="22"/>
        </w:rPr>
        <w:t>SH</w:t>
      </w:r>
      <w:r w:rsidR="00437DC1" w:rsidRPr="004D7B9D">
        <w:rPr>
          <w:rFonts w:ascii="Arial" w:hAnsi="Arial" w:cs="Arial"/>
          <w:sz w:val="22"/>
          <w:szCs w:val="22"/>
        </w:rPr>
        <w:t xml:space="preserve"> </w:t>
      </w:r>
    </w:p>
    <w:p w14:paraId="22BCEFA5" w14:textId="77777777" w:rsidR="00437DC1" w:rsidRDefault="00437DC1" w:rsidP="009F19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D7B9D">
        <w:rPr>
          <w:rFonts w:ascii="Arial" w:hAnsi="Arial" w:cs="Arial"/>
          <w:sz w:val="22"/>
          <w:szCs w:val="22"/>
        </w:rPr>
        <w:t xml:space="preserve">ISIN: </w:t>
      </w:r>
      <w:r w:rsidR="005A0375">
        <w:rPr>
          <w:rFonts w:ascii="Arial" w:hAnsi="Arial" w:cs="Arial"/>
          <w:bCs/>
          <w:sz w:val="22"/>
          <w:szCs w:val="22"/>
        </w:rPr>
        <w:t>SG9999019087</w:t>
      </w:r>
    </w:p>
    <w:p w14:paraId="45425B2B" w14:textId="77777777" w:rsidR="00FF4413" w:rsidRDefault="00FF4413" w:rsidP="009F199D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Primary listing on NASDAQ Global Select Market</w:t>
      </w:r>
    </w:p>
    <w:p w14:paraId="1DB057E1" w14:textId="77777777" w:rsidR="00FF4413" w:rsidRPr="004D7B9D" w:rsidRDefault="00FF4413" w:rsidP="009F19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Secondary listing on the JSE Main Board</w:t>
      </w:r>
    </w:p>
    <w:p w14:paraId="1128070B" w14:textId="77777777" w:rsidR="006F3122" w:rsidRPr="004D7B9D" w:rsidRDefault="006F3122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A2DC3B" w14:textId="5913C0B4" w:rsidR="006F3122" w:rsidRPr="004D7B9D" w:rsidRDefault="00E21A8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RESULTS</w:t>
      </w:r>
      <w:r w:rsidR="006F3122" w:rsidRPr="004D7B9D">
        <w:rPr>
          <w:rFonts w:ascii="Arial" w:hAnsi="Arial" w:cs="Arial"/>
          <w:b/>
          <w:bCs/>
          <w:sz w:val="22"/>
          <w:szCs w:val="22"/>
        </w:rPr>
        <w:t xml:space="preserve"> OF </w:t>
      </w:r>
      <w:r w:rsidR="005A0375">
        <w:rPr>
          <w:rFonts w:ascii="Arial" w:hAnsi="Arial" w:cs="Arial"/>
          <w:b/>
          <w:bCs/>
          <w:sz w:val="22"/>
          <w:szCs w:val="22"/>
        </w:rPr>
        <w:t>EXTRAORDINARY</w:t>
      </w:r>
      <w:r w:rsidR="006F3122" w:rsidRPr="004D7B9D">
        <w:rPr>
          <w:rFonts w:ascii="Arial" w:hAnsi="Arial" w:cs="Arial"/>
          <w:b/>
          <w:bCs/>
          <w:sz w:val="22"/>
          <w:szCs w:val="22"/>
        </w:rPr>
        <w:t xml:space="preserve"> GENERAL MEETING</w:t>
      </w:r>
    </w:p>
    <w:p w14:paraId="4DE795DB" w14:textId="77777777" w:rsidR="006F3122" w:rsidRDefault="006F3122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DEFF8C2" w14:textId="108A88BA" w:rsidR="00E21A88" w:rsidRDefault="00E21A8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E21A88">
        <w:rPr>
          <w:rFonts w:ascii="Arial" w:hAnsi="Arial" w:cs="Arial"/>
          <w:color w:val="212529"/>
          <w:sz w:val="22"/>
          <w:szCs w:val="22"/>
        </w:rPr>
        <w:t xml:space="preserve">Shareholders are hereby advised that, at the extraordinary general meeting of shareholders of the </w:t>
      </w:r>
      <w:r w:rsidR="000A5298">
        <w:rPr>
          <w:rFonts w:ascii="Arial" w:hAnsi="Arial" w:cs="Arial"/>
          <w:color w:val="212529"/>
          <w:sz w:val="22"/>
          <w:szCs w:val="22"/>
        </w:rPr>
        <w:t>C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ompany held Thursday, 6 September 2018, the proposed ordinary resolution, as set out in the notice of </w:t>
      </w:r>
      <w:r w:rsidR="00E16DF8">
        <w:rPr>
          <w:rFonts w:ascii="Arial" w:hAnsi="Arial" w:cs="Arial"/>
          <w:color w:val="212529"/>
          <w:sz w:val="22"/>
          <w:szCs w:val="22"/>
        </w:rPr>
        <w:t xml:space="preserve">extraordinary 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general meeting circulated to shareholders dated Friday, 17 August 2018, was passed by the requisite majority of shareholders voting in person or by proxy. </w:t>
      </w:r>
    </w:p>
    <w:p w14:paraId="28B441F8" w14:textId="77777777" w:rsidR="00E21A88" w:rsidRPr="00E21A88" w:rsidRDefault="00E21A8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212529"/>
          <w:sz w:val="22"/>
          <w:szCs w:val="22"/>
        </w:rPr>
      </w:pPr>
    </w:p>
    <w:p w14:paraId="4CB079D4" w14:textId="4F3D26A9" w:rsidR="00A753A2" w:rsidRDefault="000A529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Each ordinary share carries one vote. </w:t>
      </w:r>
      <w:r w:rsidR="00E21A88" w:rsidRPr="00E21A88">
        <w:rPr>
          <w:rFonts w:ascii="Arial" w:hAnsi="Arial" w:cs="Arial"/>
          <w:color w:val="212529"/>
          <w:sz w:val="22"/>
          <w:szCs w:val="22"/>
        </w:rPr>
        <w:t xml:space="preserve">Details of the results of voting at the extraordinary general meeting are as follows: </w:t>
      </w:r>
    </w:p>
    <w:p w14:paraId="14C633A2" w14:textId="26537CAB" w:rsidR="00E21A88" w:rsidRPr="00E21A88" w:rsidRDefault="00E21A8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E21A88">
        <w:rPr>
          <w:rFonts w:ascii="Arial" w:hAnsi="Arial" w:cs="Arial"/>
          <w:color w:val="212529"/>
          <w:sz w:val="22"/>
          <w:szCs w:val="22"/>
        </w:rPr>
        <w:t xml:space="preserve">Ordinary shares: </w:t>
      </w:r>
    </w:p>
    <w:p w14:paraId="4E98E82F" w14:textId="5BECF8C8" w:rsidR="00E21A88" w:rsidRPr="00E21A88" w:rsidRDefault="00E21A8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E21A88">
        <w:rPr>
          <w:rFonts w:ascii="Arial" w:hAnsi="Arial" w:cs="Arial"/>
          <w:color w:val="212529"/>
          <w:sz w:val="22"/>
          <w:szCs w:val="22"/>
        </w:rPr>
        <w:t xml:space="preserve">- Total number of issued ordinary shares: </w:t>
      </w:r>
      <w:r w:rsidR="00A6615B">
        <w:rPr>
          <w:rFonts w:ascii="Arial" w:hAnsi="Arial" w:cs="Arial"/>
          <w:color w:val="212529"/>
          <w:sz w:val="22"/>
          <w:szCs w:val="22"/>
        </w:rPr>
        <w:t>19,063,833</w:t>
      </w:r>
    </w:p>
    <w:p w14:paraId="40443EB3" w14:textId="533DF356" w:rsidR="00E21A88" w:rsidRPr="00E21A88" w:rsidRDefault="00E21A8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E21A88">
        <w:rPr>
          <w:rFonts w:ascii="Arial" w:hAnsi="Arial" w:cs="Arial"/>
          <w:color w:val="212529"/>
          <w:sz w:val="22"/>
          <w:szCs w:val="22"/>
        </w:rPr>
        <w:t>- Total number of issued ordinary shares which were present</w:t>
      </w:r>
      <w:r w:rsidR="001F08F5">
        <w:rPr>
          <w:rFonts w:ascii="Arial" w:hAnsi="Arial" w:cs="Arial"/>
          <w:color w:val="212529"/>
          <w:sz w:val="22"/>
          <w:szCs w:val="22"/>
        </w:rPr>
        <w:t xml:space="preserve"> </w:t>
      </w:r>
      <w:r w:rsidRPr="00E21A88">
        <w:rPr>
          <w:rFonts w:ascii="Arial" w:hAnsi="Arial" w:cs="Arial"/>
          <w:color w:val="212529"/>
          <w:sz w:val="22"/>
          <w:szCs w:val="22"/>
        </w:rPr>
        <w:t>/</w:t>
      </w:r>
      <w:r w:rsidR="001F08F5">
        <w:rPr>
          <w:rFonts w:ascii="Arial" w:hAnsi="Arial" w:cs="Arial"/>
          <w:color w:val="212529"/>
          <w:sz w:val="22"/>
          <w:szCs w:val="22"/>
        </w:rPr>
        <w:t xml:space="preserve"> 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represented at the </w:t>
      </w:r>
      <w:r w:rsidR="00FC4FCA">
        <w:rPr>
          <w:rFonts w:ascii="Arial" w:hAnsi="Arial" w:cs="Arial"/>
          <w:color w:val="212529"/>
          <w:sz w:val="22"/>
          <w:szCs w:val="22"/>
        </w:rPr>
        <w:t xml:space="preserve">extraordinary 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general meeting: </w:t>
      </w:r>
      <w:r w:rsidR="00D51A37">
        <w:rPr>
          <w:rFonts w:ascii="Arial" w:hAnsi="Arial" w:cs="Arial"/>
          <w:color w:val="212529"/>
          <w:sz w:val="22"/>
          <w:szCs w:val="22"/>
        </w:rPr>
        <w:t>11,516,106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 being </w:t>
      </w:r>
      <w:r w:rsidR="00D51A37">
        <w:rPr>
          <w:rFonts w:ascii="Arial" w:hAnsi="Arial" w:cs="Arial"/>
          <w:color w:val="212529"/>
          <w:sz w:val="22"/>
          <w:szCs w:val="22"/>
        </w:rPr>
        <w:t>60.41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% of the </w:t>
      </w:r>
      <w:r w:rsidR="000A5298">
        <w:rPr>
          <w:rFonts w:ascii="Arial" w:hAnsi="Arial" w:cs="Arial"/>
          <w:color w:val="212529"/>
          <w:sz w:val="22"/>
          <w:szCs w:val="22"/>
        </w:rPr>
        <w:t>t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otal </w:t>
      </w:r>
      <w:r w:rsidR="000A5298">
        <w:rPr>
          <w:rFonts w:ascii="Arial" w:hAnsi="Arial" w:cs="Arial"/>
          <w:color w:val="212529"/>
          <w:sz w:val="22"/>
          <w:szCs w:val="22"/>
        </w:rPr>
        <w:t>ordinary shares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. </w:t>
      </w:r>
    </w:p>
    <w:p w14:paraId="5C67EA2D" w14:textId="77777777" w:rsidR="00E21A88" w:rsidRPr="00E21A88" w:rsidRDefault="00E21A8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212529"/>
          <w:sz w:val="22"/>
          <w:szCs w:val="22"/>
        </w:rPr>
      </w:pPr>
    </w:p>
    <w:p w14:paraId="335B20AD" w14:textId="1AE804CE" w:rsidR="00A753A2" w:rsidRDefault="00E16DF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Ordinary Resolution</w:t>
      </w:r>
      <w:r w:rsidR="00E21A88" w:rsidRPr="00E21A88">
        <w:rPr>
          <w:rFonts w:ascii="Arial" w:hAnsi="Arial" w:cs="Arial"/>
          <w:color w:val="212529"/>
          <w:sz w:val="22"/>
          <w:szCs w:val="22"/>
        </w:rPr>
        <w:t xml:space="preserve">: </w:t>
      </w:r>
      <w:r>
        <w:rPr>
          <w:rFonts w:ascii="Arial" w:hAnsi="Arial" w:cs="Arial"/>
          <w:color w:val="212529"/>
          <w:sz w:val="22"/>
          <w:szCs w:val="22"/>
        </w:rPr>
        <w:t>Approval of Share Repurchase Mandate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753A2" w14:paraId="1FBCAE81" w14:textId="77777777" w:rsidTr="00A753A2">
        <w:tc>
          <w:tcPr>
            <w:tcW w:w="2407" w:type="dxa"/>
          </w:tcPr>
          <w:p w14:paraId="10BE4903" w14:textId="7A7C8A3A" w:rsidR="00A753A2" w:rsidRPr="00A753A2" w:rsidRDefault="00A753A2" w:rsidP="009F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  <w:u w:val="single"/>
              </w:rPr>
            </w:pPr>
            <w:r w:rsidRPr="00A753A2">
              <w:rPr>
                <w:rFonts w:ascii="Arial" w:hAnsi="Arial" w:cs="Arial"/>
                <w:color w:val="212529"/>
                <w:sz w:val="22"/>
                <w:szCs w:val="22"/>
                <w:u w:val="single"/>
              </w:rPr>
              <w:t>For</w:t>
            </w:r>
          </w:p>
        </w:tc>
        <w:tc>
          <w:tcPr>
            <w:tcW w:w="2407" w:type="dxa"/>
          </w:tcPr>
          <w:p w14:paraId="6F03A605" w14:textId="09242659" w:rsidR="00A753A2" w:rsidRPr="00A753A2" w:rsidRDefault="00A753A2" w:rsidP="009F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  <w:u w:val="single"/>
              </w:rPr>
            </w:pPr>
            <w:r w:rsidRPr="00A753A2">
              <w:rPr>
                <w:rFonts w:ascii="Arial" w:hAnsi="Arial" w:cs="Arial"/>
                <w:color w:val="212529"/>
                <w:sz w:val="22"/>
                <w:szCs w:val="22"/>
                <w:u w:val="single"/>
              </w:rPr>
              <w:t>Against</w:t>
            </w:r>
          </w:p>
        </w:tc>
        <w:tc>
          <w:tcPr>
            <w:tcW w:w="2407" w:type="dxa"/>
          </w:tcPr>
          <w:p w14:paraId="7A04F4EA" w14:textId="5854C917" w:rsidR="00A753A2" w:rsidRPr="00A753A2" w:rsidRDefault="00A753A2" w:rsidP="009F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  <w:u w:val="single"/>
              </w:rPr>
            </w:pPr>
            <w:r w:rsidRPr="00A753A2">
              <w:rPr>
                <w:rFonts w:ascii="Arial" w:hAnsi="Arial" w:cs="Arial"/>
                <w:color w:val="212529"/>
                <w:sz w:val="22"/>
                <w:szCs w:val="22"/>
                <w:u w:val="single"/>
              </w:rPr>
              <w:t>Abstentions</w:t>
            </w:r>
          </w:p>
        </w:tc>
        <w:tc>
          <w:tcPr>
            <w:tcW w:w="2408" w:type="dxa"/>
          </w:tcPr>
          <w:p w14:paraId="2B34B2D0" w14:textId="39FA64B7" w:rsidR="00A753A2" w:rsidRPr="00A753A2" w:rsidRDefault="00A753A2" w:rsidP="00C6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  <w:u w:val="single"/>
              </w:rPr>
            </w:pPr>
            <w:r w:rsidRPr="00A753A2">
              <w:rPr>
                <w:rFonts w:ascii="Arial" w:hAnsi="Arial" w:cs="Arial"/>
                <w:color w:val="212529"/>
                <w:sz w:val="22"/>
                <w:szCs w:val="22"/>
                <w:u w:val="single"/>
              </w:rPr>
              <w:t xml:space="preserve">Shares </w:t>
            </w:r>
            <w:r w:rsidR="00C66D62">
              <w:rPr>
                <w:rFonts w:ascii="Arial" w:hAnsi="Arial" w:cs="Arial"/>
                <w:color w:val="212529"/>
                <w:sz w:val="22"/>
                <w:szCs w:val="22"/>
                <w:u w:val="single"/>
              </w:rPr>
              <w:t>represented</w:t>
            </w:r>
          </w:p>
        </w:tc>
      </w:tr>
      <w:tr w:rsidR="00A753A2" w14:paraId="4A10D87C" w14:textId="77777777" w:rsidTr="00A753A2">
        <w:tc>
          <w:tcPr>
            <w:tcW w:w="2407" w:type="dxa"/>
          </w:tcPr>
          <w:p w14:paraId="247F55A5" w14:textId="0AAD1A6A" w:rsidR="00A753A2" w:rsidRDefault="00D51A37" w:rsidP="009F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11,371,922</w:t>
            </w:r>
          </w:p>
        </w:tc>
        <w:tc>
          <w:tcPr>
            <w:tcW w:w="2407" w:type="dxa"/>
          </w:tcPr>
          <w:p w14:paraId="4405590F" w14:textId="2DDB04C3" w:rsidR="00A753A2" w:rsidRDefault="00D51A37" w:rsidP="009F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142,275</w:t>
            </w:r>
          </w:p>
        </w:tc>
        <w:tc>
          <w:tcPr>
            <w:tcW w:w="2407" w:type="dxa"/>
          </w:tcPr>
          <w:p w14:paraId="1C365E2E" w14:textId="465285C8" w:rsidR="00A753A2" w:rsidRDefault="00D51A37" w:rsidP="009F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1,909</w:t>
            </w:r>
          </w:p>
        </w:tc>
        <w:tc>
          <w:tcPr>
            <w:tcW w:w="2408" w:type="dxa"/>
          </w:tcPr>
          <w:p w14:paraId="6CC7DA5B" w14:textId="66E3146F" w:rsidR="00A753A2" w:rsidRDefault="00D51A37" w:rsidP="009F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11,516,106</w:t>
            </w:r>
          </w:p>
        </w:tc>
      </w:tr>
      <w:tr w:rsidR="00A753A2" w14:paraId="7BF9FC0A" w14:textId="77777777" w:rsidTr="00A753A2">
        <w:tc>
          <w:tcPr>
            <w:tcW w:w="2407" w:type="dxa"/>
          </w:tcPr>
          <w:p w14:paraId="034DD79B" w14:textId="5513124A" w:rsidR="00A753A2" w:rsidRDefault="00642A76" w:rsidP="0064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98.75</w:t>
            </w:r>
            <w:r w:rsidR="00A753A2">
              <w:rPr>
                <w:rFonts w:ascii="Arial" w:hAnsi="Arial" w:cs="Arial"/>
                <w:color w:val="212529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5C54FE85" w14:textId="57B18177" w:rsidR="00A753A2" w:rsidRDefault="0064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1.24</w:t>
            </w:r>
            <w:r w:rsidR="00A753A2">
              <w:rPr>
                <w:rFonts w:ascii="Arial" w:hAnsi="Arial" w:cs="Arial"/>
                <w:color w:val="212529"/>
                <w:sz w:val="22"/>
                <w:szCs w:val="22"/>
              </w:rPr>
              <w:t>%</w:t>
            </w:r>
          </w:p>
        </w:tc>
        <w:tc>
          <w:tcPr>
            <w:tcW w:w="2407" w:type="dxa"/>
          </w:tcPr>
          <w:p w14:paraId="43B50A69" w14:textId="4FC0913D" w:rsidR="00A753A2" w:rsidRDefault="00D51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0.0</w:t>
            </w:r>
            <w:r w:rsidR="00642A76">
              <w:rPr>
                <w:rFonts w:ascii="Arial" w:hAnsi="Arial" w:cs="Arial"/>
                <w:color w:val="212529"/>
                <w:sz w:val="22"/>
                <w:szCs w:val="22"/>
              </w:rPr>
              <w:t>2</w:t>
            </w:r>
            <w:r w:rsidR="00A753A2">
              <w:rPr>
                <w:rFonts w:ascii="Arial" w:hAnsi="Arial" w:cs="Arial"/>
                <w:color w:val="212529"/>
                <w:sz w:val="22"/>
                <w:szCs w:val="22"/>
              </w:rPr>
              <w:t>%</w:t>
            </w:r>
          </w:p>
        </w:tc>
        <w:tc>
          <w:tcPr>
            <w:tcW w:w="2408" w:type="dxa"/>
          </w:tcPr>
          <w:p w14:paraId="135D43AD" w14:textId="2FD45B77" w:rsidR="00A753A2" w:rsidRDefault="00A7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212529"/>
                <w:sz w:val="22"/>
                <w:szCs w:val="22"/>
              </w:rPr>
            </w:pPr>
          </w:p>
        </w:tc>
      </w:tr>
    </w:tbl>
    <w:p w14:paraId="3151D0AE" w14:textId="77777777" w:rsidR="00A753A2" w:rsidRPr="00E21A88" w:rsidRDefault="00A753A2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212529"/>
          <w:sz w:val="22"/>
          <w:szCs w:val="22"/>
        </w:rPr>
      </w:pPr>
    </w:p>
    <w:p w14:paraId="0968CEC4" w14:textId="61555EE6" w:rsidR="007F27B8" w:rsidRPr="00E21A88" w:rsidRDefault="00E21A8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21A88">
        <w:rPr>
          <w:rFonts w:ascii="Arial" w:hAnsi="Arial" w:cs="Arial"/>
          <w:color w:val="212529"/>
          <w:sz w:val="22"/>
          <w:szCs w:val="22"/>
        </w:rPr>
        <w:t xml:space="preserve">Note: </w:t>
      </w:r>
      <w:r w:rsidR="00C66D62">
        <w:rPr>
          <w:rFonts w:ascii="Arial" w:hAnsi="Arial" w:cs="Arial"/>
          <w:color w:val="212529"/>
          <w:sz w:val="22"/>
          <w:szCs w:val="22"/>
        </w:rPr>
        <w:t>T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he </w:t>
      </w:r>
      <w:r w:rsidR="000A5298">
        <w:rPr>
          <w:rFonts w:ascii="Arial" w:hAnsi="Arial" w:cs="Arial"/>
          <w:color w:val="212529"/>
          <w:sz w:val="22"/>
          <w:szCs w:val="22"/>
        </w:rPr>
        <w:t xml:space="preserve">percentage indicated </w:t>
      </w:r>
      <w:r w:rsidR="00C66D62">
        <w:rPr>
          <w:rFonts w:ascii="Arial" w:hAnsi="Arial" w:cs="Arial"/>
          <w:color w:val="212529"/>
          <w:sz w:val="22"/>
          <w:szCs w:val="22"/>
        </w:rPr>
        <w:t xml:space="preserve">above </w:t>
      </w:r>
      <w:r w:rsidR="000A5298">
        <w:rPr>
          <w:rFonts w:ascii="Arial" w:hAnsi="Arial" w:cs="Arial"/>
          <w:color w:val="212529"/>
          <w:sz w:val="22"/>
          <w:szCs w:val="22"/>
        </w:rPr>
        <w:t xml:space="preserve">for each choice (namely </w:t>
      </w:r>
      <w:r w:rsidRPr="00E21A88">
        <w:rPr>
          <w:rFonts w:ascii="Arial" w:hAnsi="Arial" w:cs="Arial"/>
          <w:color w:val="212529"/>
          <w:sz w:val="22"/>
          <w:szCs w:val="22"/>
        </w:rPr>
        <w:t>votes for</w:t>
      </w:r>
      <w:r w:rsidR="00DB43D4">
        <w:rPr>
          <w:rFonts w:ascii="Arial" w:hAnsi="Arial" w:cs="Arial"/>
          <w:color w:val="212529"/>
          <w:sz w:val="22"/>
          <w:szCs w:val="22"/>
        </w:rPr>
        <w:t xml:space="preserve">, </w:t>
      </w:r>
      <w:r w:rsidRPr="00E21A88">
        <w:rPr>
          <w:rFonts w:ascii="Arial" w:hAnsi="Arial" w:cs="Arial"/>
          <w:color w:val="212529"/>
          <w:sz w:val="22"/>
          <w:szCs w:val="22"/>
        </w:rPr>
        <w:t>against</w:t>
      </w:r>
      <w:r w:rsidR="00DB43D4">
        <w:rPr>
          <w:rFonts w:ascii="Arial" w:hAnsi="Arial" w:cs="Arial"/>
          <w:color w:val="212529"/>
          <w:sz w:val="22"/>
          <w:szCs w:val="22"/>
        </w:rPr>
        <w:t xml:space="preserve"> and </w:t>
      </w:r>
      <w:r w:rsidR="000A5298">
        <w:rPr>
          <w:rFonts w:ascii="Arial" w:hAnsi="Arial" w:cs="Arial"/>
          <w:color w:val="212529"/>
          <w:sz w:val="22"/>
          <w:szCs w:val="22"/>
        </w:rPr>
        <w:t>abstention)</w:t>
      </w:r>
      <w:r w:rsidR="00DB43D4">
        <w:rPr>
          <w:rFonts w:ascii="Arial" w:hAnsi="Arial" w:cs="Arial"/>
          <w:color w:val="212529"/>
          <w:sz w:val="22"/>
          <w:szCs w:val="22"/>
        </w:rPr>
        <w:t xml:space="preserve"> </w:t>
      </w:r>
      <w:r w:rsidR="000A5298">
        <w:rPr>
          <w:rFonts w:ascii="Arial" w:hAnsi="Arial" w:cs="Arial"/>
          <w:color w:val="212529"/>
          <w:sz w:val="22"/>
          <w:szCs w:val="22"/>
        </w:rPr>
        <w:t>is calculated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 in relation to the total number of shares </w:t>
      </w:r>
      <w:r w:rsidR="001105B4">
        <w:rPr>
          <w:rFonts w:ascii="Arial" w:hAnsi="Arial" w:cs="Arial"/>
          <w:color w:val="212529"/>
          <w:sz w:val="22"/>
          <w:szCs w:val="22"/>
        </w:rPr>
        <w:t xml:space="preserve">present / </w:t>
      </w:r>
      <w:r w:rsidR="00C66D62">
        <w:rPr>
          <w:rFonts w:ascii="Arial" w:hAnsi="Arial" w:cs="Arial"/>
          <w:color w:val="212529"/>
          <w:sz w:val="22"/>
          <w:szCs w:val="22"/>
        </w:rPr>
        <w:t>represented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 (whether in person or by proxy)</w:t>
      </w:r>
      <w:r w:rsidR="000A5298">
        <w:rPr>
          <w:rFonts w:ascii="Arial" w:hAnsi="Arial" w:cs="Arial"/>
          <w:color w:val="212529"/>
          <w:sz w:val="22"/>
          <w:szCs w:val="22"/>
        </w:rPr>
        <w:t xml:space="preserve"> 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at the </w:t>
      </w:r>
      <w:r w:rsidR="00F91F23">
        <w:rPr>
          <w:rFonts w:ascii="Arial" w:hAnsi="Arial" w:cs="Arial"/>
          <w:color w:val="212529"/>
          <w:sz w:val="22"/>
          <w:szCs w:val="22"/>
        </w:rPr>
        <w:t xml:space="preserve">extraordinary </w:t>
      </w:r>
      <w:r w:rsidRPr="00E21A88">
        <w:rPr>
          <w:rFonts w:ascii="Arial" w:hAnsi="Arial" w:cs="Arial"/>
          <w:color w:val="212529"/>
          <w:sz w:val="22"/>
          <w:szCs w:val="22"/>
        </w:rPr>
        <w:t xml:space="preserve">general meeting. </w:t>
      </w:r>
    </w:p>
    <w:p w14:paraId="14D0DF77" w14:textId="75EEC0ED" w:rsidR="00595F0E" w:rsidRDefault="00595F0E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36C4D37" w14:textId="77777777" w:rsidR="00F91F23" w:rsidRPr="00224FF0" w:rsidRDefault="00F91F23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C199CCB" w14:textId="4C047BF6" w:rsidR="007F27B8" w:rsidRPr="00224FF0" w:rsidRDefault="005D3B80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24FF0">
        <w:rPr>
          <w:rFonts w:ascii="Arial" w:hAnsi="Arial" w:cs="Arial"/>
          <w:color w:val="000000"/>
          <w:sz w:val="22"/>
          <w:szCs w:val="22"/>
          <w:lang w:val="en-US"/>
        </w:rPr>
        <w:t xml:space="preserve">By order of the </w:t>
      </w:r>
      <w:r w:rsidR="00FF4413">
        <w:rPr>
          <w:rFonts w:ascii="Arial" w:hAnsi="Arial" w:cs="Arial"/>
          <w:color w:val="000000"/>
          <w:sz w:val="22"/>
          <w:szCs w:val="22"/>
          <w:lang w:val="en-US"/>
        </w:rPr>
        <w:t>B</w:t>
      </w:r>
      <w:r w:rsidRPr="00224FF0">
        <w:rPr>
          <w:rFonts w:ascii="Arial" w:hAnsi="Arial" w:cs="Arial"/>
          <w:color w:val="000000"/>
          <w:sz w:val="22"/>
          <w:szCs w:val="22"/>
          <w:lang w:val="en-US"/>
        </w:rPr>
        <w:t>oard</w:t>
      </w:r>
    </w:p>
    <w:p w14:paraId="6DA0D2F0" w14:textId="2DAC08AF" w:rsidR="008B0B1C" w:rsidRPr="00224FF0" w:rsidRDefault="00A72C5C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4D7B9D" w:rsidRPr="00224FF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21A88">
        <w:rPr>
          <w:rFonts w:ascii="Arial" w:hAnsi="Arial" w:cs="Arial"/>
          <w:color w:val="000000"/>
          <w:sz w:val="22"/>
          <w:szCs w:val="22"/>
          <w:lang w:val="en-US"/>
        </w:rPr>
        <w:t>September</w:t>
      </w:r>
      <w:r w:rsidR="004D7B9D" w:rsidRPr="00224FF0">
        <w:rPr>
          <w:rFonts w:ascii="Arial" w:hAnsi="Arial" w:cs="Arial"/>
          <w:color w:val="000000"/>
          <w:sz w:val="22"/>
          <w:szCs w:val="22"/>
          <w:lang w:val="en-US"/>
        </w:rPr>
        <w:t xml:space="preserve"> 2018</w:t>
      </w:r>
    </w:p>
    <w:p w14:paraId="4DC92E0F" w14:textId="77777777" w:rsidR="007F27B8" w:rsidRPr="004D7B9D" w:rsidRDefault="007F27B8" w:rsidP="009F1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24FF0">
        <w:rPr>
          <w:rFonts w:ascii="Arial" w:hAnsi="Arial" w:cs="Arial"/>
          <w:color w:val="000000"/>
          <w:sz w:val="22"/>
          <w:szCs w:val="22"/>
          <w:lang w:val="en-US"/>
        </w:rPr>
        <w:t>Sponsor: Grindrod Bank Limited</w:t>
      </w:r>
      <w:r w:rsidRPr="004D7B9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sectPr w:rsidR="007F27B8" w:rsidRPr="004D7B9D" w:rsidSect="00F30E4F"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2AC5" w14:textId="77777777" w:rsidR="003C5CD7" w:rsidRDefault="003C5CD7" w:rsidP="008B1D4D">
      <w:r>
        <w:separator/>
      </w:r>
    </w:p>
  </w:endnote>
  <w:endnote w:type="continuationSeparator" w:id="0">
    <w:p w14:paraId="2DB9FF78" w14:textId="77777777" w:rsidR="003C5CD7" w:rsidRDefault="003C5CD7" w:rsidP="008B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DD12C" w14:textId="77777777" w:rsidR="003C5CD7" w:rsidRDefault="003C5CD7" w:rsidP="008B1D4D">
      <w:r>
        <w:separator/>
      </w:r>
    </w:p>
  </w:footnote>
  <w:footnote w:type="continuationSeparator" w:id="0">
    <w:p w14:paraId="20D36DEC" w14:textId="77777777" w:rsidR="003C5CD7" w:rsidRDefault="003C5CD7" w:rsidP="008B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22"/>
    <w:rsid w:val="00015ED7"/>
    <w:rsid w:val="00025DB0"/>
    <w:rsid w:val="00025FCE"/>
    <w:rsid w:val="00026460"/>
    <w:rsid w:val="00043A79"/>
    <w:rsid w:val="000563B2"/>
    <w:rsid w:val="00072DF7"/>
    <w:rsid w:val="00075AD2"/>
    <w:rsid w:val="00076E7C"/>
    <w:rsid w:val="00086465"/>
    <w:rsid w:val="000A5298"/>
    <w:rsid w:val="000B3F20"/>
    <w:rsid w:val="000B5D2D"/>
    <w:rsid w:val="000C3E93"/>
    <w:rsid w:val="000E5584"/>
    <w:rsid w:val="000F2B68"/>
    <w:rsid w:val="001105B4"/>
    <w:rsid w:val="00131F06"/>
    <w:rsid w:val="00151334"/>
    <w:rsid w:val="0016168B"/>
    <w:rsid w:val="00172850"/>
    <w:rsid w:val="001900B6"/>
    <w:rsid w:val="001A7EB0"/>
    <w:rsid w:val="001D3D7B"/>
    <w:rsid w:val="001E167D"/>
    <w:rsid w:val="001F08F5"/>
    <w:rsid w:val="002026C1"/>
    <w:rsid w:val="002218EC"/>
    <w:rsid w:val="00223345"/>
    <w:rsid w:val="00224FF0"/>
    <w:rsid w:val="00225E00"/>
    <w:rsid w:val="00227279"/>
    <w:rsid w:val="0022790E"/>
    <w:rsid w:val="00232818"/>
    <w:rsid w:val="00235EAF"/>
    <w:rsid w:val="0024250A"/>
    <w:rsid w:val="00256C6C"/>
    <w:rsid w:val="00261BE1"/>
    <w:rsid w:val="002723AA"/>
    <w:rsid w:val="00280501"/>
    <w:rsid w:val="0029167B"/>
    <w:rsid w:val="002A251D"/>
    <w:rsid w:val="002A723F"/>
    <w:rsid w:val="002B62A0"/>
    <w:rsid w:val="002C14E3"/>
    <w:rsid w:val="002E284D"/>
    <w:rsid w:val="002E311D"/>
    <w:rsid w:val="002E7FD8"/>
    <w:rsid w:val="002F03EC"/>
    <w:rsid w:val="00312440"/>
    <w:rsid w:val="003307B4"/>
    <w:rsid w:val="003315F0"/>
    <w:rsid w:val="00341D61"/>
    <w:rsid w:val="003506D8"/>
    <w:rsid w:val="0035070F"/>
    <w:rsid w:val="003519B3"/>
    <w:rsid w:val="00360712"/>
    <w:rsid w:val="003612FF"/>
    <w:rsid w:val="0036268A"/>
    <w:rsid w:val="0039784D"/>
    <w:rsid w:val="003C2820"/>
    <w:rsid w:val="003C5CD7"/>
    <w:rsid w:val="003D335C"/>
    <w:rsid w:val="003F0C8C"/>
    <w:rsid w:val="003F48B1"/>
    <w:rsid w:val="00406EDB"/>
    <w:rsid w:val="00430386"/>
    <w:rsid w:val="00437DC1"/>
    <w:rsid w:val="00471FC2"/>
    <w:rsid w:val="004743CE"/>
    <w:rsid w:val="004B4E85"/>
    <w:rsid w:val="004D7B9D"/>
    <w:rsid w:val="00500343"/>
    <w:rsid w:val="005268AD"/>
    <w:rsid w:val="00553C5C"/>
    <w:rsid w:val="00554A3A"/>
    <w:rsid w:val="00570351"/>
    <w:rsid w:val="00571499"/>
    <w:rsid w:val="00583851"/>
    <w:rsid w:val="005916FD"/>
    <w:rsid w:val="00595F0E"/>
    <w:rsid w:val="005A0375"/>
    <w:rsid w:val="005B00E3"/>
    <w:rsid w:val="005C17CC"/>
    <w:rsid w:val="005D03DF"/>
    <w:rsid w:val="005D3B80"/>
    <w:rsid w:val="005F2622"/>
    <w:rsid w:val="00601F90"/>
    <w:rsid w:val="006153E1"/>
    <w:rsid w:val="00621820"/>
    <w:rsid w:val="00623495"/>
    <w:rsid w:val="00642A76"/>
    <w:rsid w:val="006557DC"/>
    <w:rsid w:val="00685599"/>
    <w:rsid w:val="00690148"/>
    <w:rsid w:val="0069225F"/>
    <w:rsid w:val="00694DD1"/>
    <w:rsid w:val="006A3259"/>
    <w:rsid w:val="006A79FB"/>
    <w:rsid w:val="006C6111"/>
    <w:rsid w:val="006D23B2"/>
    <w:rsid w:val="006E0F48"/>
    <w:rsid w:val="006F13F5"/>
    <w:rsid w:val="006F3122"/>
    <w:rsid w:val="007201D7"/>
    <w:rsid w:val="0073339F"/>
    <w:rsid w:val="007349BC"/>
    <w:rsid w:val="00746673"/>
    <w:rsid w:val="00766874"/>
    <w:rsid w:val="007704B2"/>
    <w:rsid w:val="007811FF"/>
    <w:rsid w:val="007A641A"/>
    <w:rsid w:val="007C3EA9"/>
    <w:rsid w:val="007F088D"/>
    <w:rsid w:val="007F27B8"/>
    <w:rsid w:val="007F27C6"/>
    <w:rsid w:val="007F7041"/>
    <w:rsid w:val="00805EFF"/>
    <w:rsid w:val="0081756E"/>
    <w:rsid w:val="00820171"/>
    <w:rsid w:val="00837A08"/>
    <w:rsid w:val="00840A92"/>
    <w:rsid w:val="00856D6E"/>
    <w:rsid w:val="008601B6"/>
    <w:rsid w:val="00880543"/>
    <w:rsid w:val="00881376"/>
    <w:rsid w:val="008A4B5B"/>
    <w:rsid w:val="008B09A0"/>
    <w:rsid w:val="008B0B1C"/>
    <w:rsid w:val="008B1D4D"/>
    <w:rsid w:val="008F0119"/>
    <w:rsid w:val="009126CD"/>
    <w:rsid w:val="0092785A"/>
    <w:rsid w:val="00931066"/>
    <w:rsid w:val="00950DE0"/>
    <w:rsid w:val="009519F4"/>
    <w:rsid w:val="00964614"/>
    <w:rsid w:val="009730BC"/>
    <w:rsid w:val="0098152B"/>
    <w:rsid w:val="00986E29"/>
    <w:rsid w:val="00987D79"/>
    <w:rsid w:val="00995AAA"/>
    <w:rsid w:val="009A08BA"/>
    <w:rsid w:val="009C6BAC"/>
    <w:rsid w:val="009F199D"/>
    <w:rsid w:val="009F1DA0"/>
    <w:rsid w:val="00A00750"/>
    <w:rsid w:val="00A05F86"/>
    <w:rsid w:val="00A520EA"/>
    <w:rsid w:val="00A557D0"/>
    <w:rsid w:val="00A56BFD"/>
    <w:rsid w:val="00A6615B"/>
    <w:rsid w:val="00A72C5C"/>
    <w:rsid w:val="00A753A2"/>
    <w:rsid w:val="00A877BD"/>
    <w:rsid w:val="00A95139"/>
    <w:rsid w:val="00AA352F"/>
    <w:rsid w:val="00AA53BA"/>
    <w:rsid w:val="00AB3333"/>
    <w:rsid w:val="00AC09DF"/>
    <w:rsid w:val="00AD25F4"/>
    <w:rsid w:val="00AD2D61"/>
    <w:rsid w:val="00AF526C"/>
    <w:rsid w:val="00B2059C"/>
    <w:rsid w:val="00B2191A"/>
    <w:rsid w:val="00B26F87"/>
    <w:rsid w:val="00B34AAA"/>
    <w:rsid w:val="00B4492C"/>
    <w:rsid w:val="00B44F8E"/>
    <w:rsid w:val="00B602A2"/>
    <w:rsid w:val="00B75C07"/>
    <w:rsid w:val="00B83C88"/>
    <w:rsid w:val="00B84BBE"/>
    <w:rsid w:val="00BA18A1"/>
    <w:rsid w:val="00BA67CF"/>
    <w:rsid w:val="00BB74C3"/>
    <w:rsid w:val="00BC541E"/>
    <w:rsid w:val="00BC7443"/>
    <w:rsid w:val="00BD414E"/>
    <w:rsid w:val="00BE7F76"/>
    <w:rsid w:val="00BF25FA"/>
    <w:rsid w:val="00C20536"/>
    <w:rsid w:val="00C37DB1"/>
    <w:rsid w:val="00C41EBE"/>
    <w:rsid w:val="00C649E9"/>
    <w:rsid w:val="00C66D62"/>
    <w:rsid w:val="00C808CA"/>
    <w:rsid w:val="00C80F4D"/>
    <w:rsid w:val="00C87073"/>
    <w:rsid w:val="00C9429E"/>
    <w:rsid w:val="00C951C2"/>
    <w:rsid w:val="00CA2401"/>
    <w:rsid w:val="00CB39AA"/>
    <w:rsid w:val="00CC6328"/>
    <w:rsid w:val="00CD44F6"/>
    <w:rsid w:val="00CE502C"/>
    <w:rsid w:val="00CF32D3"/>
    <w:rsid w:val="00D10556"/>
    <w:rsid w:val="00D125B7"/>
    <w:rsid w:val="00D267C9"/>
    <w:rsid w:val="00D30126"/>
    <w:rsid w:val="00D30402"/>
    <w:rsid w:val="00D51A37"/>
    <w:rsid w:val="00D5765E"/>
    <w:rsid w:val="00D65135"/>
    <w:rsid w:val="00D7689F"/>
    <w:rsid w:val="00D8037C"/>
    <w:rsid w:val="00DB43D4"/>
    <w:rsid w:val="00DC06A6"/>
    <w:rsid w:val="00DC557A"/>
    <w:rsid w:val="00DF16F6"/>
    <w:rsid w:val="00E03DE8"/>
    <w:rsid w:val="00E12FC7"/>
    <w:rsid w:val="00E141EC"/>
    <w:rsid w:val="00E16DF8"/>
    <w:rsid w:val="00E21A88"/>
    <w:rsid w:val="00E25E49"/>
    <w:rsid w:val="00E3117C"/>
    <w:rsid w:val="00E5128D"/>
    <w:rsid w:val="00E565B2"/>
    <w:rsid w:val="00E64288"/>
    <w:rsid w:val="00E77793"/>
    <w:rsid w:val="00EA3102"/>
    <w:rsid w:val="00EA3D1A"/>
    <w:rsid w:val="00EB3F6F"/>
    <w:rsid w:val="00EB4E98"/>
    <w:rsid w:val="00EB6612"/>
    <w:rsid w:val="00EE2A81"/>
    <w:rsid w:val="00EF247D"/>
    <w:rsid w:val="00EF4FCC"/>
    <w:rsid w:val="00F30E4F"/>
    <w:rsid w:val="00F3392C"/>
    <w:rsid w:val="00F34669"/>
    <w:rsid w:val="00F42F47"/>
    <w:rsid w:val="00F4491C"/>
    <w:rsid w:val="00F51003"/>
    <w:rsid w:val="00F52786"/>
    <w:rsid w:val="00F65B28"/>
    <w:rsid w:val="00F67AD0"/>
    <w:rsid w:val="00F7384D"/>
    <w:rsid w:val="00F81C2B"/>
    <w:rsid w:val="00F91F23"/>
    <w:rsid w:val="00FA334E"/>
    <w:rsid w:val="00FB41D0"/>
    <w:rsid w:val="00FB4A3E"/>
    <w:rsid w:val="00FC0A0A"/>
    <w:rsid w:val="00FC4DEC"/>
    <w:rsid w:val="00FC4FCA"/>
    <w:rsid w:val="00FE461D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516BD"/>
  <w15:docId w15:val="{5E1721EE-B56E-4EED-8F33-AB930920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9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3F20"/>
    <w:pPr>
      <w:jc w:val="center"/>
    </w:pPr>
    <w:rPr>
      <w:sz w:val="18"/>
      <w:szCs w:val="20"/>
    </w:rPr>
  </w:style>
  <w:style w:type="paragraph" w:styleId="BalloonText">
    <w:name w:val="Balloon Text"/>
    <w:basedOn w:val="Normal"/>
    <w:semiHidden/>
    <w:rsid w:val="008A4B5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2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7B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8B1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1D4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B1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1D4D"/>
    <w:rPr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6F31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9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449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4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49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92C"/>
    <w:rPr>
      <w:b/>
      <w:bCs/>
      <w:lang w:val="en-GB"/>
    </w:rPr>
  </w:style>
  <w:style w:type="character" w:styleId="FollowedHyperlink">
    <w:name w:val="FollowedHyperlink"/>
    <w:basedOn w:val="DefaultParagraphFont"/>
    <w:semiHidden/>
    <w:unhideWhenUsed/>
    <w:rsid w:val="002C14E3"/>
    <w:rPr>
      <w:color w:val="800080" w:themeColor="followedHyperlink"/>
      <w:u w:val="single"/>
    </w:rPr>
  </w:style>
  <w:style w:type="table" w:styleId="TableGrid">
    <w:name w:val="Table Grid"/>
    <w:basedOn w:val="TableNormal"/>
    <w:rsid w:val="00A7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(Incorporated in the Republic of South Africa)</vt:lpstr>
    </vt:vector>
  </TitlesOfParts>
  <Company>Grindrod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(Incorporated in the Republic of South Africa)</dc:title>
  <dc:creator>Brown</dc:creator>
  <cp:lastModifiedBy>Murray Paul Grindrod (Grindrod)</cp:lastModifiedBy>
  <cp:revision>4</cp:revision>
  <cp:lastPrinted>2018-08-31T08:50:00Z</cp:lastPrinted>
  <dcterms:created xsi:type="dcterms:W3CDTF">2018-09-06T13:39:00Z</dcterms:created>
  <dcterms:modified xsi:type="dcterms:W3CDTF">2018-09-06T13:52:00Z</dcterms:modified>
</cp:coreProperties>
</file>